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982" w:rsidRPr="00DF4982" w:rsidRDefault="00DF4982" w:rsidP="00DF49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Утверждено приказом </w:t>
      </w:r>
    </w:p>
    <w:p w:rsidR="00DF4982" w:rsidRPr="00DF4982" w:rsidRDefault="00DF4982" w:rsidP="00DF49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генерального директора МКК УФРП </w:t>
      </w:r>
    </w:p>
    <w:p w:rsidR="00133FED" w:rsidRPr="00DF4982" w:rsidRDefault="00DF4982" w:rsidP="00DF49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№ </w:t>
      </w:r>
      <w:r w:rsidR="00E44E50">
        <w:rPr>
          <w:rFonts w:ascii="Times New Roman" w:hAnsi="Times New Roman" w:cs="Times New Roman"/>
          <w:bCs/>
          <w:color w:val="000000"/>
          <w:sz w:val="20"/>
          <w:szCs w:val="20"/>
        </w:rPr>
        <w:t>132</w:t>
      </w: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/01-1 от </w:t>
      </w:r>
      <w:r w:rsidR="00E44E50">
        <w:rPr>
          <w:rFonts w:ascii="Times New Roman" w:hAnsi="Times New Roman" w:cs="Times New Roman"/>
          <w:bCs/>
          <w:color w:val="000000"/>
          <w:sz w:val="20"/>
          <w:szCs w:val="20"/>
        </w:rPr>
        <w:t>19</w:t>
      </w: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E44E50">
        <w:rPr>
          <w:rFonts w:ascii="Times New Roman" w:hAnsi="Times New Roman" w:cs="Times New Roman"/>
          <w:bCs/>
          <w:color w:val="000000"/>
          <w:sz w:val="20"/>
          <w:szCs w:val="20"/>
        </w:rPr>
        <w:t>июня</w:t>
      </w:r>
      <w:bookmarkStart w:id="0" w:name="_GoBack"/>
      <w:bookmarkEnd w:id="0"/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2025 г.</w:t>
      </w: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4C3694">
        <w:rPr>
          <w:rFonts w:ascii="Times New Roman" w:hAnsi="Times New Roman" w:cs="Times New Roman"/>
          <w:b/>
          <w:bCs/>
        </w:rPr>
        <w:t>е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Микрокредитной компании Удмуртского фонда развития предпринимательства</w:t>
      </w:r>
    </w:p>
    <w:p w:rsidR="004C3694" w:rsidRPr="004C3694" w:rsidRDefault="004C3694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C3694">
        <w:rPr>
          <w:rFonts w:ascii="Times New Roman" w:hAnsi="Times New Roman" w:cs="Times New Roman"/>
          <w:b/>
          <w:bCs/>
        </w:rPr>
        <w:t>«Региональные инвестиции»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AF6303">
        <w:rPr>
          <w:rFonts w:ascii="Times New Roman" w:hAnsi="Times New Roman" w:cs="Times New Roman"/>
          <w:b/>
          <w:bCs/>
        </w:rPr>
        <w:t>4</w:t>
      </w:r>
    </w:p>
    <w:p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После заключения договора целевого займа Технико-экономическое обоснование Проекта будет являться одним из источников данных о Проекте для контроля исполнения Проекта со стороны Микрокредитной компании Удмуртского фонда развития предпринимательства (далее - Фонд).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Вашего удобства и в целях соблюдения Стандарта Микрокредитной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</w:t>
      </w:r>
      <w:r w:rsidR="0088304B"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5360E8">
        <w:rPr>
          <w:rFonts w:ascii="Times New Roman" w:hAnsi="Times New Roman" w:cs="Times New Roman"/>
          <w:bCs/>
        </w:rPr>
        <w:t>«Региональные инвестиции»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:rsidR="00AF6303" w:rsidRPr="00AF6303" w:rsidRDefault="00AF6303" w:rsidP="00AF6303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:rsidR="00E329C8" w:rsidRDefault="00AF6303" w:rsidP="0088304B">
      <w:r w:rsidRPr="00AF6303">
        <w:rPr>
          <w:rFonts w:ascii="Times New Roman" w:hAnsi="Times New Roman" w:cs="Times New Roman"/>
          <w:sz w:val="24"/>
          <w:szCs w:val="24"/>
        </w:rPr>
        <w:br w:type="page"/>
      </w:r>
    </w:p>
    <w:p w:rsidR="00BE370E" w:rsidRDefault="00BE370E" w:rsidP="00BE370E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90207E">
        <w:rPr>
          <w:rStyle w:val="FontStyle19"/>
          <w:rFonts w:ascii="Times New Roman" w:hAnsi="Times New Roman" w:cs="Times New Roman"/>
        </w:rPr>
        <w:lastRenderedPageBreak/>
        <w:t>ТЕХНИКО-ЭКОНОМИЧЕСКОЕ ОБОСНОВАНИЕ ПРОЕКТА</w:t>
      </w:r>
    </w:p>
    <w:p w:rsidR="00BE370E" w:rsidRPr="00E329C8" w:rsidRDefault="00BE370E" w:rsidP="00BE370E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 xml:space="preserve">Региональные </w:t>
      </w:r>
      <w:r>
        <w:rPr>
          <w:rFonts w:ascii="Times New Roman" w:hAnsi="Times New Roman" w:cs="Times New Roman"/>
          <w:b/>
          <w:bCs/>
        </w:rPr>
        <w:t>инвестиции</w:t>
      </w:r>
      <w:r w:rsidRPr="00E329C8">
        <w:rPr>
          <w:rFonts w:ascii="Times New Roman" w:hAnsi="Times New Roman" w:cs="Times New Roman"/>
          <w:b/>
          <w:bCs/>
        </w:rPr>
        <w:t>»</w:t>
      </w:r>
    </w:p>
    <w:p w:rsidR="00370EE6" w:rsidRDefault="00370EE6" w:rsidP="00BE370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:rsidR="00BE370E" w:rsidRPr="002F6095" w:rsidRDefault="00BE370E" w:rsidP="00BE370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:rsidR="00BE370E" w:rsidRPr="0090207E" w:rsidRDefault="00BE370E" w:rsidP="00370EE6">
      <w:pPr>
        <w:pStyle w:val="Style8"/>
        <w:widowControl/>
        <w:numPr>
          <w:ilvl w:val="0"/>
          <w:numId w:val="7"/>
        </w:numPr>
        <w:tabs>
          <w:tab w:val="left" w:pos="360"/>
        </w:tabs>
        <w:spacing w:before="100" w:beforeAutospacing="1" w:after="100" w:afterAutospacing="1" w:line="276" w:lineRule="auto"/>
        <w:ind w:left="720" w:hanging="360"/>
        <w:jc w:val="center"/>
        <w:rPr>
          <w:rStyle w:val="FontStyle19"/>
          <w:rFonts w:ascii="Times New Roman" w:hAnsi="Times New Roman" w:cs="Times New Roman"/>
        </w:rPr>
      </w:pPr>
      <w:r w:rsidRPr="0090207E">
        <w:rPr>
          <w:rStyle w:val="FontStyle19"/>
          <w:rFonts w:ascii="Times New Roman" w:hAnsi="Times New Roman" w:cs="Times New Roman"/>
        </w:rPr>
        <w:t>РЕЗЮМЕ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Краткое описание предлагаемой к производству продукции реализуемого Проекта, области ее применения и этапа, на котором находится разработка.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Краткое описание рынка, предлагаемой к производству продукции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Данные о компетенциях Заявителя. Персонал, участвующий в Проекте. </w:t>
      </w:r>
    </w:p>
    <w:p w:rsidR="00BE370E" w:rsidRPr="00370EE6" w:rsidRDefault="00BE370E" w:rsidP="00370EE6">
      <w:pPr>
        <w:pStyle w:val="Style8"/>
        <w:widowControl/>
        <w:numPr>
          <w:ilvl w:val="0"/>
          <w:numId w:val="8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370EE6">
        <w:rPr>
          <w:rStyle w:val="FontStyle19"/>
          <w:rFonts w:ascii="Times New Roman" w:hAnsi="Times New Roman" w:cs="Times New Roman"/>
        </w:rPr>
        <w:t>ИСТОРИЯ И ТЕКУЩЕЕ СОСТОЯНИЕ ПРОЕКТА, ЕГО РАЗВИТИЕ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Предшествующие стадии Проекта и основные этапы, т.е. мероприятия</w:t>
      </w:r>
      <w:r w:rsidR="006158CB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предусмотренные по проекту: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проектных, строительно-монтажных, ремонтных работ (при отсутствии данных мероприятий и работ - информация не заполняется).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Приобретение и запуск необходимого оборудования.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Начало серийного выпуска и выход на запланированную мощность по выпуску продукции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Статус выполнения мероприятий: выполнено/планируется выполнить.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Сроки начала, окончания - календарный план график выполнения мероприятий проекта.</w:t>
      </w:r>
    </w:p>
    <w:p w:rsidR="00BE370E" w:rsidRPr="00370EE6" w:rsidRDefault="00BE370E" w:rsidP="00370EE6">
      <w:pPr>
        <w:autoSpaceDN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    Для заполнения данной информации рекомендуемая форма – в Приложении № 1 к ТЭО.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Инвесторы (банки, лизинговые компании, третьи лица).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Исполнители (подрядчики, поставщики).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Размер и структура понесенных затрат (в разрезе выполненных мероприятий).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проекта, указывается информация: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По ранее оплаченным расходам (в случае их наличия), могут включать приобретение оборуд</w:t>
      </w: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ования, объектов недвижимости, транспортных средств.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По планируемым к оплате расходам, в том числе с выделением расходов, которые планируется оплачивать:</w:t>
      </w:r>
    </w:p>
    <w:p w:rsidR="00BE370E" w:rsidRPr="00370EE6" w:rsidRDefault="00BE370E" w:rsidP="00BE370E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Фонда (за счет займа Фонда не финансируется расходы на строительство недвижимости, приобретение объектов недвижимости и транспортных средств),</w:t>
      </w:r>
      <w:r w:rsidRPr="00370EE6" w:rsidDel="00265F0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:rsidR="00BE370E" w:rsidRPr="00370EE6" w:rsidRDefault="00BE370E" w:rsidP="00BE370E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софинансирования в рамках Проекта (ограничения по направлениям расходов отсутствуют).</w:t>
      </w:r>
    </w:p>
    <w:p w:rsidR="00BE370E" w:rsidRPr="00370EE6" w:rsidRDefault="00BE370E" w:rsidP="00BE370E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Стоимость планируемых расходов необходимо подтвердить коммерческими предложениями, счетами на оплату, договорами (при наличии).</w:t>
      </w:r>
    </w:p>
    <w:p w:rsidR="00BE370E" w:rsidRPr="00370EE6" w:rsidRDefault="00BE370E" w:rsidP="00BE370E">
      <w:pPr>
        <w:pStyle w:val="Style13"/>
        <w:widowControl/>
        <w:spacing w:after="120"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Приложение № 2 к ТЭО.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Описание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Степень готовности продукции проекта к выпуску (опыт производства/реализации продукта у Заявителя).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Целевая аудитория и основные сегменты потребления (региональный, и/или Российский рынок).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Стратегия развития продаж; указать наличие договоренностей (деловая переписка, коммерческие предложения), соглашений с потенциальными потребителями.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компании – конкуренты на рынке (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примерная текущая доля рынка, занимаемая Заявителем, региональный/Российский; описание прогнозной доли Заявителя на рынке</w:t>
      </w: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Потенциал импортозамещения 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 планируемая доля замещения импорта компанией</w:t>
      </w: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E370E" w:rsidRPr="00111B25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Описание ценовой политики; сравнительный конкурентный анализ продукции проекта; основные конкурентные преимущества продукта (соотношение цена/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 xml:space="preserve"> качество)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DC1465" w:rsidRDefault="00BE370E" w:rsidP="00370EE6">
      <w:pPr>
        <w:pStyle w:val="Style8"/>
        <w:widowControl/>
        <w:numPr>
          <w:ilvl w:val="0"/>
          <w:numId w:val="8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0207E"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сновная хозяйственная деятельность предприятия/организации, краткая история развития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еречень осуществляемых видов деятельности и выпускаемой продукции (с выделением основных)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Т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их достаточность для осуществления текущей деятельности, для реализации проекта, проведенных/проводимых, необходимости и обоснования проведения реконструкций, ремонтов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проекта; информация о площадке, на которой планируется реализация проекта;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</w:t>
      </w:r>
      <w:r>
        <w:rPr>
          <w:rStyle w:val="FontStyle17"/>
          <w:rFonts w:ascii="Times New Roman" w:hAnsi="Times New Roman" w:cs="Times New Roman"/>
          <w:sz w:val="24"/>
          <w:szCs w:val="24"/>
        </w:rPr>
        <w:t>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проекта). Необходимо подтвердить наличие площадей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4608F3">
        <w:rPr>
          <w:rStyle w:val="FontStyle17"/>
          <w:rFonts w:ascii="Times New Roman" w:hAnsi="Times New Roman" w:cs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поставщики сырья и комплектующих с указанием доли в поставках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покупатели и заказчики с указанием доли в продажах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рофессиональные компетенции персонала: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работ; </w:t>
      </w: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Pr="007A3961">
        <w:rPr>
          <w:rStyle w:val="FontStyle17"/>
          <w:rFonts w:ascii="Times New Roman" w:hAnsi="Times New Roman" w:cs="Times New Roman"/>
          <w:sz w:val="24"/>
          <w:szCs w:val="24"/>
        </w:rPr>
        <w:t>труктура управления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; среднесписочная численность персонала за последний календарный год, размер средней заработной платы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Н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аличие сертификатов и лицензий на осуществляемые Заявителем виды деятельности, требуемые к получению разрешительные документы для реализации Проекта (при наличии требований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по оформлению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сертификатов и лицензий)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370EE6" w:rsidRDefault="00370EE6" w:rsidP="00370EE6">
      <w:pPr>
        <w:autoSpaceDN w:val="0"/>
        <w:spacing w:after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370EE6" w:rsidRPr="00145A2E" w:rsidRDefault="00370EE6" w:rsidP="00370EE6">
      <w:pPr>
        <w:autoSpaceDN w:val="0"/>
        <w:spacing w:after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0E" w:rsidRPr="00DC1465" w:rsidRDefault="00BE370E" w:rsidP="00370EE6">
      <w:pPr>
        <w:pStyle w:val="Style8"/>
        <w:widowControl/>
        <w:numPr>
          <w:ilvl w:val="0"/>
          <w:numId w:val="8"/>
        </w:numPr>
        <w:tabs>
          <w:tab w:val="left" w:pos="425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DC1465">
        <w:rPr>
          <w:rStyle w:val="FontStyle19"/>
          <w:rFonts w:ascii="Times New Roman" w:hAnsi="Times New Roman" w:cs="Times New Roman"/>
        </w:rPr>
        <w:lastRenderedPageBreak/>
        <w:t>ОСНОВНЫЕ ЗАДАЧИ ПРОЕКТА И ЭТАПЫ</w:t>
      </w:r>
    </w:p>
    <w:p w:rsidR="00BE370E" w:rsidRPr="00370EE6" w:rsidRDefault="00BE370E" w:rsidP="00BE370E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4.1</w:t>
      </w:r>
      <w:r>
        <w:rPr>
          <w:rStyle w:val="FontStyle17"/>
          <w:rFonts w:ascii="Times New Roman" w:hAnsi="Times New Roman" w:cs="Times New Roman"/>
        </w:rPr>
        <w:t>.</w:t>
      </w:r>
      <w:r>
        <w:rPr>
          <w:rStyle w:val="FontStyle17"/>
          <w:rFonts w:ascii="Times New Roman" w:hAnsi="Times New Roman" w:cs="Times New Roman"/>
        </w:rPr>
        <w:tab/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Инфраструктурные задачи (обеспечение ресурсами).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Территориальное подтверждение для осуществления реализации Проекта (необходимо предоставить копии договоров аренды / свидетельства о праве собственности в случае, если в рамках Проекта требуются дополнительные площади. При реализации проекта на текущих площадях - информация не заполняется).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Перечислить трех основных поставщиков сырья для выпуска продукции Проекта (предоставить копии договоров).</w:t>
      </w:r>
    </w:p>
    <w:p w:rsidR="00BE370E" w:rsidRPr="00370EE6" w:rsidRDefault="00BE370E" w:rsidP="00BE370E">
      <w:pPr>
        <w:pStyle w:val="Style13"/>
        <w:widowControl/>
        <w:tabs>
          <w:tab w:val="left" w:pos="806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4.2.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ab/>
        <w:t>Производственные задачи.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Производственный план.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Обеспечение качества. </w:t>
      </w:r>
    </w:p>
    <w:p w:rsidR="00BE370E" w:rsidRPr="00370EE6" w:rsidRDefault="00BE370E" w:rsidP="00BE370E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4.3.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ab/>
        <w:t>Кадровые задачи.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Необходимые дополнительные кадровые ресурсы (в случае реализации проекта существующим штатом сотрудников - информация не заполняется).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:rsidR="00BE370E" w:rsidRDefault="00BE370E" w:rsidP="00BE370E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  <w:r w:rsidRPr="00186FEE">
        <w:rPr>
          <w:rStyle w:val="FontStyle17"/>
          <w:rFonts w:ascii="Times New Roman" w:hAnsi="Times New Roman" w:cs="Times New Roman"/>
          <w:b/>
          <w:i/>
        </w:rPr>
        <w:t>В случае если Заявителем на момент подачи заявки решены все кадровые задачи, подобран персонал, необходимо предоставить штатное расписание с выделением сотрудников, занятых реализацией Проекта.</w:t>
      </w:r>
    </w:p>
    <w:p w:rsidR="00BE370E" w:rsidRPr="00186FEE" w:rsidRDefault="00BE370E" w:rsidP="00BE370E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:rsidR="00BE370E" w:rsidRPr="00DC1465" w:rsidRDefault="00BE370E" w:rsidP="00370EE6">
      <w:pPr>
        <w:pStyle w:val="Style8"/>
        <w:widowControl/>
        <w:numPr>
          <w:ilvl w:val="0"/>
          <w:numId w:val="8"/>
        </w:numPr>
        <w:tabs>
          <w:tab w:val="left" w:pos="432"/>
        </w:tabs>
        <w:ind w:firstLine="567"/>
        <w:jc w:val="center"/>
        <w:rPr>
          <w:rStyle w:val="FontStyle19"/>
          <w:rFonts w:ascii="Times New Roman" w:hAnsi="Times New Roman" w:cs="Times New Roman"/>
        </w:rPr>
      </w:pPr>
      <w:r w:rsidRPr="00DC1465">
        <w:rPr>
          <w:rStyle w:val="FontStyle19"/>
          <w:rFonts w:ascii="Times New Roman" w:hAnsi="Times New Roman" w:cs="Times New Roman"/>
        </w:rPr>
        <w:t>ФИНАНСОВЫЙ ПЛАН</w:t>
      </w:r>
    </w:p>
    <w:p w:rsidR="00BE370E" w:rsidRPr="00370EE6" w:rsidRDefault="00BE370E" w:rsidP="00BE370E">
      <w:pPr>
        <w:pStyle w:val="Style8"/>
        <w:widowControl/>
        <w:tabs>
          <w:tab w:val="left" w:pos="432"/>
        </w:tabs>
        <w:ind w:left="567"/>
        <w:rPr>
          <w:rStyle w:val="FontStyle19"/>
          <w:rFonts w:ascii="Times New Roman" w:hAnsi="Times New Roman" w:cs="Times New Roman"/>
          <w:sz w:val="24"/>
          <w:szCs w:val="24"/>
        </w:rPr>
      </w:pPr>
    </w:p>
    <w:p w:rsidR="00BE370E" w:rsidRPr="00370EE6" w:rsidRDefault="00370EE6" w:rsidP="00370EE6">
      <w:pPr>
        <w:pStyle w:val="Style13"/>
        <w:widowControl/>
        <w:numPr>
          <w:ilvl w:val="0"/>
          <w:numId w:val="10"/>
        </w:numPr>
        <w:tabs>
          <w:tab w:val="left" w:pos="567"/>
          <w:tab w:val="left" w:pos="709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E370E" w:rsidRPr="00370EE6">
        <w:rPr>
          <w:rStyle w:val="FontStyle17"/>
          <w:rFonts w:ascii="Times New Roman" w:hAnsi="Times New Roman" w:cs="Times New Roman"/>
          <w:sz w:val="24"/>
          <w:szCs w:val="24"/>
        </w:rPr>
        <w:t>Принятые исходные данные:</w:t>
      </w:r>
    </w:p>
    <w:p w:rsidR="00BE370E" w:rsidRPr="00186FE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сбыта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продукции/услуг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, динамика по годам на предполагаемый срок займа по текущей деятельности,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необходимо выделить план сбыта продукции проекта (в количественных и стоимостных величинах) с учетом выхода на запланированные мощности по выпуску.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Описание ожидаемых результатов от реализации проекта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какой прирост производства, выручки, прибыли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, снижение себестоимости и/или накладных расходов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(на единицу продукции проекта, на единицу производимой продукции) в месяц, год, обеспечивается за счет реализации проекта на срок привлечения займа Фонда в разбивке по годам для обоснования заложенных предпосылок построения прогноза движения денежных средств).</w:t>
      </w:r>
    </w:p>
    <w:p w:rsidR="00BE370E" w:rsidRPr="00186FE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Планируемые цены на товары/услуги,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продукцию Проекта, динамика изменения по годам на предполагаемый срок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Профиль производственных затрат: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примерная себестоимость и ее составляющие (выпускаемой продукции, продукции Проекта), структура коммерческих, управленческих расходов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динамика по кварталам на период срока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начисления налогов, в том числе в республиканский и местный бюджет, динамика по годам на предполагаемый срок займа.</w:t>
      </w:r>
    </w:p>
    <w:p w:rsidR="00BE370E" w:rsidRPr="002408D9" w:rsidRDefault="00BE370E" w:rsidP="00BE370E">
      <w:pPr>
        <w:numPr>
          <w:ilvl w:val="2"/>
          <w:numId w:val="5"/>
        </w:numPr>
        <w:tabs>
          <w:tab w:val="left" w:pos="698"/>
        </w:tabs>
        <w:autoSpaceDN w:val="0"/>
        <w:spacing w:after="0" w:line="240" w:lineRule="auto"/>
        <w:ind w:left="0" w:firstLine="56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D7F13">
        <w:rPr>
          <w:rStyle w:val="FontStyle17"/>
          <w:rFonts w:ascii="Times New Roman" w:hAnsi="Times New Roman" w:cs="Times New Roman"/>
          <w:sz w:val="24"/>
          <w:szCs w:val="24"/>
        </w:rPr>
        <w:t>Объем инвестиций в основной капитал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по годам на предполагаемый срок займа </w:t>
      </w:r>
      <w:r w:rsidRPr="005D7F13">
        <w:rPr>
          <w:rStyle w:val="FontStyle17"/>
          <w:rFonts w:ascii="Times New Roman" w:hAnsi="Times New Roman" w:cs="Times New Roman"/>
          <w:sz w:val="24"/>
          <w:szCs w:val="24"/>
        </w:rPr>
        <w:t>по видам экономической деятельности, за исключением видов деятельности</w:t>
      </w: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>, не относящихся к сфере ведения Министерства промышленности и торговли Российской Федерации;</w:t>
      </w:r>
    </w:p>
    <w:p w:rsidR="00BE370E" w:rsidRPr="002408D9" w:rsidRDefault="00BE370E" w:rsidP="00BE370E">
      <w:pPr>
        <w:numPr>
          <w:ilvl w:val="2"/>
          <w:numId w:val="5"/>
        </w:numPr>
        <w:tabs>
          <w:tab w:val="left" w:pos="698"/>
        </w:tabs>
        <w:autoSpaceDN w:val="0"/>
        <w:spacing w:after="0" w:line="240" w:lineRule="auto"/>
        <w:ind w:left="0" w:firstLine="56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 xml:space="preserve"> Объем отгруженных товаров собственного производства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Федерации;</w:t>
      </w:r>
    </w:p>
    <w:p w:rsidR="00BE370E" w:rsidRPr="002408D9" w:rsidRDefault="00BE370E" w:rsidP="00BE370E">
      <w:pPr>
        <w:numPr>
          <w:ilvl w:val="2"/>
          <w:numId w:val="5"/>
        </w:numPr>
        <w:tabs>
          <w:tab w:val="left" w:pos="698"/>
        </w:tabs>
        <w:autoSpaceDN w:val="0"/>
        <w:spacing w:after="0" w:line="240" w:lineRule="auto"/>
        <w:ind w:left="0" w:firstLine="56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>Увеличение полной учетной стоимости основных фондов (поступление) за счет создания новой стоимости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Федерации.</w:t>
      </w:r>
    </w:p>
    <w:p w:rsidR="00E043A2" w:rsidRDefault="00E043A2" w:rsidP="00E043A2">
      <w:pPr>
        <w:pStyle w:val="Style13"/>
        <w:widowControl/>
        <w:numPr>
          <w:ilvl w:val="0"/>
          <w:numId w:val="29"/>
        </w:numPr>
        <w:tabs>
          <w:tab w:val="left" w:pos="567"/>
        </w:tabs>
        <w:spacing w:line="276" w:lineRule="auto"/>
        <w:ind w:left="567" w:hanging="567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Профиль инвестиционных затрат по кварталам</w:t>
      </w:r>
      <w:r>
        <w:rPr>
          <w:rStyle w:val="FontStyle17"/>
          <w:rFonts w:ascii="Times New Roman" w:hAnsi="Times New Roman" w:cs="Times New Roman"/>
        </w:rPr>
        <w:t>:</w:t>
      </w:r>
    </w:p>
    <w:p w:rsidR="00E043A2" w:rsidRPr="00E043A2" w:rsidRDefault="00E043A2" w:rsidP="00E043A2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76" w:lineRule="auto"/>
        <w:ind w:hanging="28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расходы);</w:t>
      </w:r>
    </w:p>
    <w:p w:rsidR="00E043A2" w:rsidRDefault="00E043A2" w:rsidP="00E043A2">
      <w:pPr>
        <w:pStyle w:val="Style5"/>
        <w:widowControl/>
        <w:numPr>
          <w:ilvl w:val="0"/>
          <w:numId w:val="22"/>
        </w:numPr>
        <w:tabs>
          <w:tab w:val="left" w:pos="0"/>
        </w:tabs>
        <w:spacing w:line="276" w:lineRule="auto"/>
        <w:ind w:left="0" w:firstLine="556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lastRenderedPageBreak/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Описание капитальных вложений на срок привлечения займа Фонда в случае, если в прогнозном отчете о движении денежных средств планируются инвестиционные затраты</w:t>
      </w:r>
      <w:r w:rsidR="006158CB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 выходящие за периметр инвестиционных затрат по проекту.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Вышеуказанные данные, а также данные по текущей деятельности отражаются в</w:t>
      </w:r>
      <w:r>
        <w:rPr>
          <w:rStyle w:val="FontStyle17"/>
          <w:rFonts w:ascii="Times New Roman" w:hAnsi="Times New Roman" w:cs="Times New Roman"/>
        </w:rPr>
        <w:t xml:space="preserve"> </w:t>
      </w:r>
      <w:r w:rsidRPr="00513787">
        <w:rPr>
          <w:rFonts w:ascii="Times New Roman" w:hAnsi="Times New Roman"/>
        </w:rPr>
        <w:t>Отчет</w:t>
      </w:r>
      <w:r>
        <w:rPr>
          <w:rFonts w:ascii="Times New Roman" w:hAnsi="Times New Roman"/>
        </w:rPr>
        <w:t>е</w:t>
      </w:r>
      <w:r w:rsidRPr="00513787">
        <w:rPr>
          <w:rFonts w:ascii="Times New Roman" w:hAnsi="Times New Roman"/>
        </w:rPr>
        <w:t xml:space="preserve"> о движении денежных средств за </w:t>
      </w:r>
      <w:r>
        <w:rPr>
          <w:rFonts w:ascii="Times New Roman" w:hAnsi="Times New Roman"/>
        </w:rPr>
        <w:t>последний завершенный финансовый год и завершенный отчетный период текущего финансового года</w:t>
      </w:r>
      <w:r w:rsidRPr="00BD58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8064F6">
        <w:rPr>
          <w:rFonts w:ascii="Times New Roman" w:hAnsi="Times New Roman"/>
        </w:rPr>
        <w:t xml:space="preserve"> </w:t>
      </w:r>
      <w:r w:rsidRPr="00BD5857">
        <w:rPr>
          <w:rFonts w:ascii="Times New Roman" w:hAnsi="Times New Roman"/>
        </w:rPr>
        <w:t>Прогноз</w:t>
      </w:r>
      <w:r>
        <w:rPr>
          <w:rFonts w:ascii="Times New Roman" w:hAnsi="Times New Roman"/>
        </w:rPr>
        <w:t>е</w:t>
      </w:r>
      <w:r w:rsidRPr="00BD5857">
        <w:rPr>
          <w:rFonts w:ascii="Times New Roman" w:hAnsi="Times New Roman"/>
        </w:rPr>
        <w:t xml:space="preserve"> отчета о движении денежных средств на предполагаемый срок займа</w:t>
      </w:r>
      <w:r>
        <w:rPr>
          <w:rFonts w:ascii="Times New Roman" w:hAnsi="Times New Roman"/>
        </w:rPr>
        <w:t xml:space="preserve"> </w:t>
      </w:r>
      <w:r w:rsidRPr="00513787">
        <w:rPr>
          <w:rFonts w:ascii="Times New Roman" w:hAnsi="Times New Roman"/>
        </w:rPr>
        <w:t>с выделением прогноза движения денежных средств по текущей деятельности и по проекту</w:t>
      </w:r>
      <w:r>
        <w:rPr>
          <w:rFonts w:ascii="Times New Roman" w:hAnsi="Times New Roman"/>
        </w:rPr>
        <w:t>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3 к ТЭО.</w:t>
      </w:r>
    </w:p>
    <w:p w:rsidR="00BE370E" w:rsidRPr="00370EE6" w:rsidRDefault="00BE370E" w:rsidP="00BE370E">
      <w:pPr>
        <w:pStyle w:val="Style8"/>
        <w:widowControl/>
        <w:ind w:firstLine="567"/>
        <w:jc w:val="both"/>
        <w:rPr>
          <w:rFonts w:ascii="Times New Roman" w:hAnsi="Times New Roman" w:cs="Times New Roman"/>
        </w:rPr>
      </w:pPr>
    </w:p>
    <w:p w:rsidR="00BE370E" w:rsidRPr="00370EE6" w:rsidRDefault="00BE370E" w:rsidP="00BE370E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370EE6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:rsidR="00BE370E" w:rsidRPr="00370EE6" w:rsidRDefault="00BE370E" w:rsidP="00BE370E">
      <w:pPr>
        <w:pStyle w:val="Style6"/>
        <w:widowControl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:rsidR="00BE370E" w:rsidRPr="00370EE6" w:rsidRDefault="00BE370E" w:rsidP="00BE370E">
      <w:pPr>
        <w:pStyle w:val="Style5"/>
        <w:widowControl/>
        <w:ind w:firstLine="567"/>
        <w:jc w:val="both"/>
        <w:rPr>
          <w:rFonts w:ascii="Times New Roman" w:hAnsi="Times New Roman" w:cs="Times New Roman"/>
        </w:rPr>
      </w:pPr>
      <w:r w:rsidRPr="00370EE6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 w:rsidR="00490538">
        <w:rPr>
          <w:rFonts w:ascii="Times New Roman" w:hAnsi="Times New Roman" w:cs="Times New Roman"/>
        </w:rPr>
        <w:t>т</w:t>
      </w:r>
      <w:r w:rsidRPr="00370EE6">
        <w:rPr>
          <w:rFonts w:ascii="Times New Roman" w:hAnsi="Times New Roman" w:cs="Times New Roman"/>
        </w:rPr>
        <w:t>ел.: (3412) 514-170</w:t>
      </w:r>
      <w:r w:rsidR="00370EE6">
        <w:rPr>
          <w:rFonts w:ascii="Times New Roman" w:hAnsi="Times New Roman" w:cs="Times New Roman"/>
        </w:rPr>
        <w:t>.</w:t>
      </w:r>
    </w:p>
    <w:p w:rsidR="00BE370E" w:rsidRPr="00370EE6" w:rsidRDefault="00BE370E" w:rsidP="00BE370E">
      <w:pPr>
        <w:pStyle w:val="Style5"/>
        <w:widowControl/>
        <w:ind w:firstLine="567"/>
        <w:jc w:val="both"/>
        <w:rPr>
          <w:rStyle w:val="a4"/>
          <w:rFonts w:ascii="Times New Roman" w:hAnsi="Times New Roman" w:cs="Times New Roman"/>
        </w:rPr>
      </w:pPr>
    </w:p>
    <w:p w:rsidR="00CC677F" w:rsidRDefault="00E44E50" w:rsidP="0088304B">
      <w:pPr>
        <w:autoSpaceDE w:val="0"/>
        <w:autoSpaceDN w:val="0"/>
        <w:adjustRightInd w:val="0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7" w:history="1">
        <w:r w:rsidR="00BE370E" w:rsidRPr="00370EE6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</w:rPr>
          <w:t>https://madeinudmurtia.ru/udm/finansirovanie-proektov-razvitiya-promyshlennykh-predpriyatiy/</w:t>
        </w:r>
      </w:hyperlink>
      <w:r w:rsidR="00BE370E" w:rsidRPr="00370EE6">
        <w:rPr>
          <w:rFonts w:ascii="Times New Roman" w:eastAsia="Arial" w:hAnsi="Times New Roman" w:cs="Times New Roman"/>
          <w:sz w:val="24"/>
          <w:szCs w:val="24"/>
        </w:rPr>
        <w:t xml:space="preserve"> раздел «Региональные займы промышленным предприятиям»</w:t>
      </w:r>
      <w:r w:rsidR="00370EE6">
        <w:rPr>
          <w:rFonts w:ascii="Times New Roman" w:eastAsia="Arial" w:hAnsi="Times New Roman" w:cs="Times New Roman"/>
          <w:sz w:val="24"/>
          <w:szCs w:val="24"/>
        </w:rPr>
        <w:t>.</w:t>
      </w:r>
    </w:p>
    <w:sectPr w:rsidR="00CC677F" w:rsidSect="00BA0640"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5CD" w:rsidRDefault="00D365CD" w:rsidP="004B30A1">
      <w:pPr>
        <w:spacing w:after="0" w:line="240" w:lineRule="auto"/>
      </w:pPr>
      <w:r>
        <w:separator/>
      </w:r>
    </w:p>
  </w:endnote>
  <w:endnote w:type="continuationSeparator" w:id="0">
    <w:p w:rsidR="00D365CD" w:rsidRDefault="00D365CD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0A1" w:rsidRDefault="004B30A1">
    <w:pPr>
      <w:pStyle w:val="a7"/>
      <w:rPr>
        <w:color w:val="000000" w:themeColor="text1"/>
        <w:sz w:val="24"/>
        <w:szCs w:val="24"/>
      </w:rPr>
    </w:pPr>
  </w:p>
  <w:p w:rsidR="004B30A1" w:rsidRDefault="004B30A1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468138" wp14:editId="30D82D77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B30A1" w:rsidRPr="00BA0640" w:rsidRDefault="004B30A1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44E50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3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468138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4B30A1" w:rsidRPr="00BA0640" w:rsidRDefault="004B30A1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E44E5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3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5CD" w:rsidRDefault="00D365CD" w:rsidP="004B30A1">
      <w:pPr>
        <w:spacing w:after="0" w:line="240" w:lineRule="auto"/>
      </w:pPr>
      <w:r>
        <w:separator/>
      </w:r>
    </w:p>
  </w:footnote>
  <w:footnote w:type="continuationSeparator" w:id="0">
    <w:p w:rsidR="00D365CD" w:rsidRDefault="00D365CD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 w15:restartNumberingAfterBreak="0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1" w15:restartNumberingAfterBreak="0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6" w15:restartNumberingAfterBreak="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7" w15:restartNumberingAfterBreak="0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3"/>
  </w:num>
  <w:num w:numId="3">
    <w:abstractNumId w:val="27"/>
  </w:num>
  <w:num w:numId="4">
    <w:abstractNumId w:val="28"/>
  </w:num>
  <w:num w:numId="5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4"/>
  </w:num>
  <w:num w:numId="8">
    <w:abstractNumId w:val="18"/>
  </w:num>
  <w:num w:numId="9">
    <w:abstractNumId w:val="4"/>
  </w:num>
  <w:num w:numId="10">
    <w:abstractNumId w:val="5"/>
  </w:num>
  <w:num w:numId="11">
    <w:abstractNumId w:val="11"/>
  </w:num>
  <w:num w:numId="12">
    <w:abstractNumId w:val="1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7"/>
  </w:num>
  <w:num w:numId="15">
    <w:abstractNumId w:val="22"/>
  </w:num>
  <w:num w:numId="16">
    <w:abstractNumId w:val="17"/>
  </w:num>
  <w:num w:numId="17">
    <w:abstractNumId w:val="16"/>
  </w:num>
  <w:num w:numId="18">
    <w:abstractNumId w:val="30"/>
  </w:num>
  <w:num w:numId="19">
    <w:abstractNumId w:val="8"/>
  </w:num>
  <w:num w:numId="20">
    <w:abstractNumId w:val="12"/>
  </w:num>
  <w:num w:numId="21">
    <w:abstractNumId w:val="14"/>
  </w:num>
  <w:num w:numId="22">
    <w:abstractNumId w:val="0"/>
  </w:num>
  <w:num w:numId="23">
    <w:abstractNumId w:val="13"/>
  </w:num>
  <w:num w:numId="24">
    <w:abstractNumId w:val="20"/>
  </w:num>
  <w:num w:numId="25">
    <w:abstractNumId w:val="9"/>
  </w:num>
  <w:num w:numId="26">
    <w:abstractNumId w:val="6"/>
  </w:num>
  <w:num w:numId="27">
    <w:abstractNumId w:val="29"/>
  </w:num>
  <w:num w:numId="28">
    <w:abstractNumId w:val="26"/>
  </w:num>
  <w:num w:numId="29">
    <w:abstractNumId w:val="15"/>
  </w:num>
  <w:num w:numId="30">
    <w:abstractNumId w:val="19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133FED"/>
    <w:rsid w:val="00212A46"/>
    <w:rsid w:val="0025624E"/>
    <w:rsid w:val="00262334"/>
    <w:rsid w:val="0029298C"/>
    <w:rsid w:val="00312071"/>
    <w:rsid w:val="00370EE6"/>
    <w:rsid w:val="003F6128"/>
    <w:rsid w:val="0047328E"/>
    <w:rsid w:val="00490538"/>
    <w:rsid w:val="004B30A1"/>
    <w:rsid w:val="004B4BE6"/>
    <w:rsid w:val="004C3694"/>
    <w:rsid w:val="004D2749"/>
    <w:rsid w:val="005360E8"/>
    <w:rsid w:val="005D2B30"/>
    <w:rsid w:val="006158CB"/>
    <w:rsid w:val="00646E65"/>
    <w:rsid w:val="00677F02"/>
    <w:rsid w:val="006B3CAC"/>
    <w:rsid w:val="00801181"/>
    <w:rsid w:val="0087137C"/>
    <w:rsid w:val="0088304B"/>
    <w:rsid w:val="008E45D2"/>
    <w:rsid w:val="00985B32"/>
    <w:rsid w:val="00A354ED"/>
    <w:rsid w:val="00A8148C"/>
    <w:rsid w:val="00AF6303"/>
    <w:rsid w:val="00B8649E"/>
    <w:rsid w:val="00BA0640"/>
    <w:rsid w:val="00BE370E"/>
    <w:rsid w:val="00C42164"/>
    <w:rsid w:val="00CC677F"/>
    <w:rsid w:val="00CE4BB9"/>
    <w:rsid w:val="00D365CD"/>
    <w:rsid w:val="00DF4982"/>
    <w:rsid w:val="00E043A2"/>
    <w:rsid w:val="00E329C8"/>
    <w:rsid w:val="00E44E50"/>
    <w:rsid w:val="00F001C0"/>
    <w:rsid w:val="00F23E66"/>
    <w:rsid w:val="00FD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EECD5"/>
  <w15:docId w15:val="{F86FE3AB-5503-4F44-90C6-E41EB636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adeinudmurtia.ru/udm/finansirovanie-proektov-razvitiya-promyshlennykh-predpriyat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1690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Шайдуллина Роза Гайсиевна</cp:lastModifiedBy>
  <cp:revision>11</cp:revision>
  <dcterms:created xsi:type="dcterms:W3CDTF">2024-01-25T12:22:00Z</dcterms:created>
  <dcterms:modified xsi:type="dcterms:W3CDTF">2025-06-23T10:36:00Z</dcterms:modified>
</cp:coreProperties>
</file>